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86" w:rsidRPr="00CA6EDE" w:rsidRDefault="00CA6EDE" w:rsidP="00734486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CA6EDE">
        <w:rPr>
          <w:rFonts w:cstheme="minorHAnsi"/>
          <w:b/>
          <w:color w:val="76923C" w:themeColor="accent3" w:themeShade="BF"/>
          <w:sz w:val="32"/>
          <w:szCs w:val="32"/>
        </w:rPr>
        <w:t>ZELENA IN VARNA DESTINACIJA ROGLA-POHORJE</w:t>
      </w:r>
    </w:p>
    <w:p w:rsidR="0022383F" w:rsidRDefault="0022383F" w:rsidP="00CA6EDE">
      <w:pPr>
        <w:rPr>
          <w:rFonts w:cstheme="minorHAnsi"/>
        </w:rPr>
      </w:pPr>
    </w:p>
    <w:p w:rsidR="00492A0C" w:rsidRDefault="00492A0C" w:rsidP="00492A0C">
      <w:pPr>
        <w:jc w:val="both"/>
        <w:rPr>
          <w:rFonts w:cstheme="minorHAnsi"/>
          <w:b/>
          <w:bCs/>
        </w:rPr>
      </w:pPr>
      <w:r w:rsidRPr="00492A0C">
        <w:rPr>
          <w:rFonts w:cstheme="minorHAnsi"/>
          <w:b/>
          <w:bCs/>
        </w:rPr>
        <w:t xml:space="preserve">Turistična destinacija Rogla-Pohorje, katere del je </w:t>
      </w:r>
      <w:bookmarkStart w:id="0" w:name="_GoBack"/>
      <w:bookmarkEnd w:id="0"/>
      <w:r>
        <w:rPr>
          <w:rFonts w:cstheme="minorHAnsi"/>
          <w:b/>
          <w:bCs/>
        </w:rPr>
        <w:t>tudi Občina Zreče</w:t>
      </w:r>
      <w:r w:rsidRPr="00492A0C">
        <w:rPr>
          <w:rFonts w:cstheme="minorHAnsi"/>
          <w:b/>
          <w:bCs/>
        </w:rPr>
        <w:t xml:space="preserve">, je ponosni član družine z znakom </w:t>
      </w:r>
      <w:proofErr w:type="spellStart"/>
      <w:r w:rsidRPr="00492A0C">
        <w:rPr>
          <w:rFonts w:cstheme="minorHAnsi"/>
          <w:b/>
          <w:bCs/>
        </w:rPr>
        <w:t>Slovenia</w:t>
      </w:r>
      <w:proofErr w:type="spellEnd"/>
      <w:r w:rsidRPr="00492A0C">
        <w:rPr>
          <w:rFonts w:cstheme="minorHAnsi"/>
          <w:b/>
          <w:bCs/>
        </w:rPr>
        <w:t xml:space="preserve"> </w:t>
      </w:r>
      <w:proofErr w:type="spellStart"/>
      <w:r w:rsidRPr="00492A0C">
        <w:rPr>
          <w:rFonts w:cstheme="minorHAnsi"/>
          <w:b/>
          <w:bCs/>
        </w:rPr>
        <w:t>Green</w:t>
      </w:r>
      <w:proofErr w:type="spellEnd"/>
      <w:r w:rsidRPr="00492A0C">
        <w:rPr>
          <w:rFonts w:cstheme="minorHAnsi"/>
          <w:b/>
          <w:bCs/>
        </w:rPr>
        <w:t xml:space="preserve"> </w:t>
      </w:r>
      <w:proofErr w:type="spellStart"/>
      <w:r w:rsidRPr="00492A0C">
        <w:rPr>
          <w:rFonts w:cstheme="minorHAnsi"/>
          <w:b/>
          <w:bCs/>
        </w:rPr>
        <w:t>Destination</w:t>
      </w:r>
      <w:proofErr w:type="spellEnd"/>
      <w:r w:rsidRPr="00492A0C">
        <w:rPr>
          <w:rFonts w:cstheme="minorHAnsi"/>
          <w:b/>
          <w:bCs/>
        </w:rPr>
        <w:t xml:space="preserve"> </w:t>
      </w:r>
      <w:proofErr w:type="spellStart"/>
      <w:r w:rsidRPr="00492A0C">
        <w:rPr>
          <w:rFonts w:cstheme="minorHAnsi"/>
          <w:b/>
          <w:bCs/>
        </w:rPr>
        <w:t>Bronze</w:t>
      </w:r>
      <w:proofErr w:type="spellEnd"/>
      <w:r w:rsidRPr="00492A0C">
        <w:rPr>
          <w:rFonts w:cstheme="minorHAnsi"/>
          <w:b/>
          <w:bCs/>
        </w:rPr>
        <w:t xml:space="preserve">. V zeleni shemi slovenskega turizma (ZSST), v katero se je destinacija vključila lani (2019), izpolnjuje obljubo in deluje po trajnostnih načelih ter je hkrati predana nenehnim zelenim izboljšavam. V letošnjem letu bo pristopila še k </w:t>
      </w:r>
      <w:proofErr w:type="spellStart"/>
      <w:r w:rsidRPr="00492A0C">
        <w:rPr>
          <w:rFonts w:cstheme="minorHAnsi"/>
          <w:b/>
          <w:bCs/>
        </w:rPr>
        <w:t>recertifikaciji</w:t>
      </w:r>
      <w:proofErr w:type="spellEnd"/>
      <w:r w:rsidRPr="00492A0C">
        <w:rPr>
          <w:rFonts w:cstheme="minorHAnsi"/>
          <w:b/>
          <w:bCs/>
        </w:rPr>
        <w:t xml:space="preserve"> znaka. Kakšno idejo želi zelena ekipa razvijati v prihodnje?</w:t>
      </w:r>
    </w:p>
    <w:p w:rsidR="0018718A" w:rsidRPr="00492A0C" w:rsidRDefault="0018718A" w:rsidP="00492A0C">
      <w:pPr>
        <w:jc w:val="both"/>
        <w:rPr>
          <w:rFonts w:cstheme="minorHAnsi"/>
        </w:rPr>
      </w:pPr>
    </w:p>
    <w:p w:rsidR="00492A0C" w:rsidRPr="00492A0C" w:rsidRDefault="00492A0C" w:rsidP="00492A0C">
      <w:pPr>
        <w:jc w:val="both"/>
        <w:rPr>
          <w:rFonts w:cstheme="minorHAnsi"/>
        </w:rPr>
      </w:pPr>
      <w:r w:rsidRPr="00492A0C">
        <w:rPr>
          <w:rFonts w:cstheme="minorHAnsi"/>
        </w:rPr>
        <w:t xml:space="preserve">Celotna destinacija poseljuje 27.884 prebivalcev na velikosti 257 kvadratnih kilometrov. Od tega je 16,4 % zavarovane narave, kar 92,27 % pa nepozidane površine. Ponudniki v destinaciji so vedno bolj trajnostno usmerjeni. Krepi se ekološka zavest lokalnega prebivalstva in turistov o pomenu trajnostnega razvoja. Možnosti raziskovanja naših lepih krajev so številne, mnoge zelo zeleno usmerjene – kolesarjenje, e-bike, pohodništvo, </w:t>
      </w:r>
      <w:proofErr w:type="spellStart"/>
      <w:r w:rsidRPr="00492A0C">
        <w:rPr>
          <w:rFonts w:cstheme="minorHAnsi"/>
        </w:rPr>
        <w:t>rolanje</w:t>
      </w:r>
      <w:proofErr w:type="spellEnd"/>
      <w:r w:rsidRPr="00492A0C">
        <w:rPr>
          <w:rFonts w:cstheme="minorHAnsi"/>
        </w:rPr>
        <w:t xml:space="preserve"> ... Obiskovalci lahko izbirate med 130 turističnimi nastanitvami, med njimi imajo tri pridobljeni trajnostni </w:t>
      </w:r>
      <w:proofErr w:type="spellStart"/>
      <w:r w:rsidRPr="00492A0C">
        <w:rPr>
          <w:rFonts w:cstheme="minorHAnsi"/>
        </w:rPr>
        <w:t>okoljski</w:t>
      </w:r>
      <w:proofErr w:type="spellEnd"/>
      <w:r w:rsidRPr="00492A0C">
        <w:rPr>
          <w:rFonts w:cstheme="minorHAnsi"/>
        </w:rPr>
        <w:t xml:space="preserve"> znak</w:t>
      </w:r>
      <w:r>
        <w:rPr>
          <w:rFonts w:cstheme="minorHAnsi"/>
        </w:rPr>
        <w:t xml:space="preserve"> (TK Urška, Hotel Natura in Hotel Atrij Superior)</w:t>
      </w:r>
      <w:r w:rsidRPr="00492A0C">
        <w:rPr>
          <w:rFonts w:cstheme="minorHAnsi"/>
        </w:rPr>
        <w:t>.</w:t>
      </w:r>
    </w:p>
    <w:p w:rsidR="00CA6EDE" w:rsidRDefault="00492A0C" w:rsidP="00492A0C">
      <w:pPr>
        <w:jc w:val="both"/>
        <w:rPr>
          <w:rFonts w:cstheme="minorHAnsi"/>
        </w:rPr>
      </w:pPr>
      <w:r w:rsidRPr="00492A0C">
        <w:rPr>
          <w:rFonts w:cstheme="minorHAnsi"/>
        </w:rPr>
        <w:t>Tudi kultura in tradicija sta trajnostni. Obiščete lahko 442 pomembnih zgodovinskih in spomeniških stavb, 21 muzejev in dve znamenitosti Kulturnega spomenika državnega pomena</w:t>
      </w:r>
      <w:r>
        <w:rPr>
          <w:rFonts w:cstheme="minorHAnsi"/>
        </w:rPr>
        <w:t xml:space="preserve"> (Žička kartuzija in Spominsko območje Frankolovo)</w:t>
      </w:r>
      <w:r w:rsidRPr="00492A0C">
        <w:rPr>
          <w:rFonts w:cstheme="minorHAnsi"/>
        </w:rPr>
        <w:t>. Med obiskovalci in turisti sta najbolj priljubljena nekdanji samostan Žička kartuzija in ohranjen kulturni spomenik Skomarska h</w:t>
      </w:r>
      <w:r w:rsidR="00CA6EDE">
        <w:rPr>
          <w:rFonts w:cstheme="minorHAnsi"/>
        </w:rPr>
        <w:t xml:space="preserve">iša. </w:t>
      </w:r>
    </w:p>
    <w:p w:rsidR="0018718A" w:rsidRPr="0018718A" w:rsidRDefault="00492A0C" w:rsidP="00492A0C">
      <w:pPr>
        <w:jc w:val="both"/>
        <w:rPr>
          <w:rFonts w:cstheme="minorHAnsi"/>
        </w:rPr>
      </w:pPr>
      <w:r w:rsidRPr="00492A0C">
        <w:rPr>
          <w:rFonts w:cstheme="minorHAnsi"/>
        </w:rPr>
        <w:t>V destinaciji skrbimo za trajnostno okolje in podnebje. 58,63 % odplak v destinaciji se pred odvajanjem očisti vsaj do sekundarne stopnje. 50,55 % trdnih odpadkov je ločeno zbranih za predelavo. V destinaciji je 8 postajališč za izposojo koles, 10 kolesarskih označenih poti in 7 tras za gorsko kolesarjenje. Vzpostavljen je tudi brezplačni avtobusni prevoz na Roglo in v Žičko kartuzijo, enoten sistem izposoje navadnih in električnih koles (</w:t>
      </w:r>
      <w:proofErr w:type="spellStart"/>
      <w:r w:rsidRPr="00492A0C">
        <w:rPr>
          <w:rFonts w:cstheme="minorHAnsi"/>
        </w:rPr>
        <w:t>KolesCE</w:t>
      </w:r>
      <w:proofErr w:type="spellEnd"/>
      <w:r w:rsidRPr="00492A0C">
        <w:rPr>
          <w:rFonts w:cstheme="minorHAnsi"/>
        </w:rPr>
        <w:t>), vzdržujejo se kolesarske poti, na voljo pa so tudi polnilnice za električna vozila.</w:t>
      </w:r>
      <w:r w:rsidR="00546625" w:rsidRPr="00546625">
        <w:rPr>
          <w:rFonts w:ascii="Arial" w:hAnsi="Arial" w:cs="Arial"/>
          <w:color w:val="000000" w:themeColor="text1"/>
        </w:rPr>
        <w:t xml:space="preserve"> </w:t>
      </w:r>
      <w:r w:rsidR="00546625" w:rsidRPr="00546625">
        <w:rPr>
          <w:rFonts w:cstheme="minorHAnsi"/>
        </w:rPr>
        <w:t xml:space="preserve">Gostje pa si lahko sposodijo kolesa tudi pri posameznih ponudnikih (gostišče </w:t>
      </w:r>
      <w:proofErr w:type="spellStart"/>
      <w:r w:rsidR="00546625" w:rsidRPr="00546625">
        <w:rPr>
          <w:rFonts w:cstheme="minorHAnsi"/>
        </w:rPr>
        <w:t>Smogavc</w:t>
      </w:r>
      <w:proofErr w:type="spellEnd"/>
      <w:r w:rsidR="00546625" w:rsidRPr="00546625">
        <w:rPr>
          <w:rFonts w:cstheme="minorHAnsi"/>
        </w:rPr>
        <w:t>, hotel Vital, hotel reAktiv, hotel P</w:t>
      </w:r>
      <w:r w:rsidR="00546625">
        <w:rPr>
          <w:rFonts w:cstheme="minorHAnsi"/>
        </w:rPr>
        <w:t>lanja). Električna kolesa za izposojo ponujajo tako v LTO Rogla Zreče kot v TIC-u Slovenske Konjice.</w:t>
      </w:r>
    </w:p>
    <w:p w:rsidR="00492A0C" w:rsidRPr="00492A0C" w:rsidRDefault="00492A0C" w:rsidP="00492A0C">
      <w:pPr>
        <w:jc w:val="both"/>
        <w:rPr>
          <w:rFonts w:cstheme="minorHAnsi"/>
        </w:rPr>
      </w:pPr>
      <w:r w:rsidRPr="00492A0C">
        <w:rPr>
          <w:rFonts w:cstheme="minorHAnsi"/>
          <w:b/>
          <w:bCs/>
        </w:rPr>
        <w:t>Kje so še možnosti za izboljšavo?</w:t>
      </w:r>
    </w:p>
    <w:p w:rsidR="00CA6EDE" w:rsidRDefault="00492A0C" w:rsidP="00492A0C">
      <w:pPr>
        <w:jc w:val="both"/>
        <w:rPr>
          <w:rFonts w:cstheme="minorHAnsi"/>
        </w:rPr>
      </w:pPr>
      <w:r w:rsidRPr="00492A0C">
        <w:rPr>
          <w:rFonts w:cstheme="minorHAnsi"/>
        </w:rPr>
        <w:t xml:space="preserve">Premalo obiskovalcev uporablja lokalna/javna sredstva prevozov oz. mehko mobilnost, zato bo destinacija v prihodnje več pozornosti namenila prav osveščanju o pomenu trajnostnega razvoja. Pripravljeni bodo </w:t>
      </w:r>
      <w:hyperlink r:id="rId7" w:history="1">
        <w:r w:rsidRPr="00CA6EDE">
          <w:rPr>
            <w:rStyle w:val="Hiperpovezava"/>
            <w:rFonts w:cstheme="minorHAnsi"/>
          </w:rPr>
          <w:t>zeleni napotki za obiskovalce TDRP</w:t>
        </w:r>
      </w:hyperlink>
      <w:r w:rsidRPr="00492A0C">
        <w:rPr>
          <w:rFonts w:cstheme="minorHAnsi"/>
        </w:rPr>
        <w:t xml:space="preserve"> in občane. Ponudnike bo zelena ekipa TDRP spodbujala, da se odzovejo na poziv Slovenske turistične organizacije (STO) za pridobitev znaka </w:t>
      </w:r>
      <w:proofErr w:type="spellStart"/>
      <w:r w:rsidRPr="00492A0C">
        <w:rPr>
          <w:rFonts w:cstheme="minorHAnsi"/>
        </w:rPr>
        <w:t>Slovenia</w:t>
      </w:r>
      <w:proofErr w:type="spellEnd"/>
      <w:r w:rsidRPr="00492A0C">
        <w:rPr>
          <w:rFonts w:cstheme="minorHAnsi"/>
        </w:rPr>
        <w:t xml:space="preserve"> </w:t>
      </w:r>
      <w:proofErr w:type="spellStart"/>
      <w:r w:rsidRPr="00492A0C">
        <w:rPr>
          <w:rFonts w:cstheme="minorHAnsi"/>
        </w:rPr>
        <w:t>Unique</w:t>
      </w:r>
      <w:proofErr w:type="spellEnd"/>
      <w:r w:rsidRPr="00492A0C">
        <w:rPr>
          <w:rFonts w:cstheme="minorHAnsi"/>
        </w:rPr>
        <w:t xml:space="preserve"> </w:t>
      </w:r>
      <w:proofErr w:type="spellStart"/>
      <w:r w:rsidRPr="00492A0C">
        <w:rPr>
          <w:rFonts w:cstheme="minorHAnsi"/>
        </w:rPr>
        <w:t>Experience</w:t>
      </w:r>
      <w:proofErr w:type="spellEnd"/>
      <w:r w:rsidRPr="00492A0C">
        <w:rPr>
          <w:rFonts w:cstheme="minorHAnsi"/>
        </w:rPr>
        <w:t xml:space="preserve">, ki se podeljuje </w:t>
      </w:r>
      <w:proofErr w:type="spellStart"/>
      <w:r w:rsidRPr="00492A0C">
        <w:rPr>
          <w:rFonts w:cstheme="minorHAnsi"/>
        </w:rPr>
        <w:t>petzvezdičnim</w:t>
      </w:r>
      <w:proofErr w:type="spellEnd"/>
      <w:r w:rsidRPr="00492A0C">
        <w:rPr>
          <w:rFonts w:cstheme="minorHAnsi"/>
        </w:rPr>
        <w:t xml:space="preserve"> doživetjem. Zelena ekipa tudi oblikuje in promovira inovativne zelene pobege skozi celo leto, ne le po določenih dveh sezonah (poletni in zimski). Vzpodbujala bo čim več ponudnikov v destinaciji k </w:t>
      </w:r>
      <w:hyperlink r:id="rId8" w:history="1">
        <w:r w:rsidRPr="00CA6EDE">
          <w:rPr>
            <w:rStyle w:val="Hiperpovezava"/>
            <w:rFonts w:cstheme="minorHAnsi"/>
          </w:rPr>
          <w:t xml:space="preserve">pridobitvi </w:t>
        </w:r>
        <w:r w:rsidR="00546625" w:rsidRPr="00CA6EDE">
          <w:rPr>
            <w:rStyle w:val="Hiperpovezava"/>
            <w:rFonts w:cstheme="minorHAnsi"/>
          </w:rPr>
          <w:t xml:space="preserve">zelenih </w:t>
        </w:r>
        <w:proofErr w:type="spellStart"/>
        <w:r w:rsidRPr="00CA6EDE">
          <w:rPr>
            <w:rStyle w:val="Hiperpovezava"/>
            <w:rFonts w:cstheme="minorHAnsi"/>
          </w:rPr>
          <w:t>okoljskih</w:t>
        </w:r>
        <w:proofErr w:type="spellEnd"/>
        <w:r w:rsidRPr="00CA6EDE">
          <w:rPr>
            <w:rStyle w:val="Hiperpovezava"/>
            <w:rFonts w:cstheme="minorHAnsi"/>
          </w:rPr>
          <w:t xml:space="preserve"> znakov</w:t>
        </w:r>
      </w:hyperlink>
      <w:r w:rsidRPr="00492A0C">
        <w:rPr>
          <w:rFonts w:cstheme="minorHAnsi"/>
        </w:rPr>
        <w:t>.</w:t>
      </w:r>
    </w:p>
    <w:p w:rsidR="00492A0C" w:rsidRPr="00CA6EDE" w:rsidRDefault="00492A0C" w:rsidP="00CA6EDE">
      <w:pPr>
        <w:jc w:val="center"/>
        <w:rPr>
          <w:rFonts w:cstheme="minorHAnsi"/>
        </w:rPr>
      </w:pPr>
    </w:p>
    <w:p w:rsidR="00546625" w:rsidRDefault="00546625" w:rsidP="00492A0C">
      <w:pPr>
        <w:jc w:val="both"/>
        <w:rPr>
          <w:rFonts w:cstheme="minorHAnsi"/>
        </w:rPr>
      </w:pPr>
      <w:r>
        <w:rPr>
          <w:rFonts w:cstheme="minorHAnsi"/>
        </w:rPr>
        <w:lastRenderedPageBreak/>
        <w:t>Veliko je za zeleno in trajnostno okolje na nas, lokalnih prebivalcih. Če bomo znali ustvariti takšno okolje, v katerem se bomo dobro počutili, potem bomo zagotovo prijazna destinacija tudi za obiskovalce in turiste, ki nas obiščejo.</w:t>
      </w:r>
    </w:p>
    <w:p w:rsidR="00CA6EDE" w:rsidRPr="00492A0C" w:rsidRDefault="00CA6EDE" w:rsidP="00492A0C">
      <w:pPr>
        <w:jc w:val="both"/>
        <w:rPr>
          <w:rFonts w:cstheme="minorHAnsi"/>
        </w:rPr>
      </w:pPr>
    </w:p>
    <w:p w:rsidR="00CA6EDE" w:rsidRDefault="00CA6EDE" w:rsidP="00546625">
      <w:pPr>
        <w:tabs>
          <w:tab w:val="left" w:pos="915"/>
        </w:tabs>
        <w:jc w:val="both"/>
        <w:rPr>
          <w:rFonts w:cstheme="minorHAnsi"/>
          <w:bCs/>
        </w:rPr>
      </w:pPr>
      <w:r w:rsidRPr="00CA6EDE">
        <w:rPr>
          <w:rFonts w:cstheme="minorHAnsi"/>
          <w:bCs/>
        </w:rPr>
        <w:t>Več o Zeleni shemi slovenskega turizma in dokumentih vezanih na trajnostni razvoj TDRP najdete na spletni strani</w:t>
      </w:r>
      <w:r>
        <w:rPr>
          <w:rFonts w:cstheme="minorHAnsi"/>
          <w:bCs/>
        </w:rPr>
        <w:t>:</w:t>
      </w:r>
      <w:r w:rsidRPr="00CA6EDE">
        <w:rPr>
          <w:rFonts w:cstheme="minorHAnsi"/>
          <w:bCs/>
        </w:rPr>
        <w:t xml:space="preserve"> </w:t>
      </w:r>
      <w:hyperlink r:id="rId9" w:history="1">
        <w:r w:rsidRPr="00CA6EDE">
          <w:rPr>
            <w:rStyle w:val="Hiperpovezava"/>
            <w:rFonts w:cstheme="minorHAnsi"/>
            <w:bCs/>
          </w:rPr>
          <w:t>https://www.rogla-pohorje.si/sl/slovenia-green/</w:t>
        </w:r>
      </w:hyperlink>
      <w:r>
        <w:rPr>
          <w:rFonts w:cstheme="minorHAnsi"/>
          <w:bCs/>
        </w:rPr>
        <w:t xml:space="preserve"> </w:t>
      </w:r>
      <w:r w:rsidRPr="00CA6EDE">
        <w:rPr>
          <w:rFonts w:cstheme="minorHAnsi"/>
          <w:bCs/>
        </w:rPr>
        <w:t>in na Facebooku: Rogla-Pohorje</w:t>
      </w:r>
      <w:r>
        <w:rPr>
          <w:rFonts w:cstheme="minorHAnsi"/>
          <w:bCs/>
        </w:rPr>
        <w:t>.</w:t>
      </w:r>
    </w:p>
    <w:p w:rsidR="00CA6EDE" w:rsidRDefault="00471DB1" w:rsidP="00471DB1">
      <w:pPr>
        <w:tabs>
          <w:tab w:val="left" w:pos="915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 w:rsidRPr="00CA6EDE">
        <w:rPr>
          <w:rFonts w:cstheme="minorHAnsi"/>
          <w:noProof/>
          <w:lang w:eastAsia="sl-SI"/>
        </w:rPr>
        <w:drawing>
          <wp:inline distT="0" distB="0" distL="0" distR="0" wp14:anchorId="394226AE" wp14:editId="39D2C10C">
            <wp:extent cx="6430645" cy="2446765"/>
            <wp:effectExtent l="0" t="0" r="8255" b="0"/>
            <wp:docPr id="5" name="Slika 5" descr="C:\Users\LTO\Desktop\ZSST\OBJAVE\Infogram zeleni indikatorji Rogla-Pohor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TO\Desktop\ZSST\OBJAVE\Infogram zeleni indikatorji Rogla-Pohor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244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DB1" w:rsidRDefault="00471DB1" w:rsidP="00546625">
      <w:pPr>
        <w:tabs>
          <w:tab w:val="left" w:pos="915"/>
        </w:tabs>
        <w:jc w:val="both"/>
        <w:rPr>
          <w:rFonts w:cstheme="minorHAnsi"/>
          <w:b/>
          <w:bCs/>
        </w:rPr>
      </w:pPr>
    </w:p>
    <w:p w:rsidR="00CA6EDE" w:rsidRPr="00F251FF" w:rsidRDefault="00CA6EDE" w:rsidP="00471DB1">
      <w:pPr>
        <w:tabs>
          <w:tab w:val="left" w:pos="915"/>
          <w:tab w:val="center" w:pos="4535"/>
          <w:tab w:val="left" w:pos="6165"/>
        </w:tabs>
        <w:jc w:val="both"/>
        <w:rPr>
          <w:rFonts w:cstheme="minorHAnsi"/>
          <w:b/>
          <w:bCs/>
        </w:rPr>
      </w:pPr>
      <w:r w:rsidRPr="00F251FF">
        <w:rPr>
          <w:rFonts w:cstheme="minorHAnsi"/>
          <w:b/>
          <w:bCs/>
        </w:rPr>
        <w:t>Dokumenti, priloge:</w:t>
      </w:r>
      <w:r w:rsidR="00471DB1">
        <w:rPr>
          <w:rFonts w:cstheme="minorHAnsi"/>
          <w:b/>
          <w:bCs/>
        </w:rPr>
        <w:tab/>
      </w:r>
      <w:r w:rsidR="00471DB1">
        <w:rPr>
          <w:rFonts w:cstheme="minorHAnsi"/>
          <w:b/>
          <w:bCs/>
        </w:rPr>
        <w:tab/>
      </w:r>
    </w:p>
    <w:p w:rsidR="0022383F" w:rsidRDefault="00CA6EDE" w:rsidP="00546625">
      <w:pPr>
        <w:tabs>
          <w:tab w:val="left" w:pos="915"/>
        </w:tabs>
        <w:jc w:val="both"/>
        <w:rPr>
          <w:rFonts w:cstheme="minorHAnsi"/>
        </w:rPr>
      </w:pPr>
      <w:r>
        <w:rPr>
          <w:rFonts w:cstheme="minorHAnsi"/>
          <w:bCs/>
        </w:rPr>
        <w:t>Trajnostno poročilo destinacije Rogla-Pohorje</w:t>
      </w:r>
      <w:r w:rsidR="00546625">
        <w:rPr>
          <w:rFonts w:cstheme="minorHAnsi"/>
        </w:rPr>
        <w:tab/>
      </w:r>
    </w:p>
    <w:p w:rsidR="00CA6EDE" w:rsidRDefault="00CA6EDE" w:rsidP="00546625">
      <w:pPr>
        <w:tabs>
          <w:tab w:val="left" w:pos="915"/>
        </w:tabs>
        <w:jc w:val="both"/>
        <w:rPr>
          <w:rFonts w:cstheme="minorHAnsi"/>
        </w:rPr>
      </w:pPr>
    </w:p>
    <w:p w:rsidR="007550B9" w:rsidRPr="00734486" w:rsidRDefault="00CA6EDE" w:rsidP="00CA6EDE">
      <w:pPr>
        <w:jc w:val="both"/>
        <w:rPr>
          <w:rFonts w:cstheme="minorHAnsi"/>
        </w:rPr>
      </w:pPr>
      <w:r w:rsidRPr="00CA6EDE">
        <w:rPr>
          <w:rFonts w:cstheme="minorHAnsi"/>
          <w:noProof/>
          <w:lang w:eastAsia="sl-SI"/>
        </w:rPr>
        <w:drawing>
          <wp:inline distT="0" distB="0" distL="0" distR="0">
            <wp:extent cx="4067175" cy="2320682"/>
            <wp:effectExtent l="0" t="0" r="0" b="3810"/>
            <wp:docPr id="6" name="Slika 6" descr="C:\Users\LTO\Desktop\LOGOTIPI\SLO_destination_bron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TO\Desktop\LOGOTIPI\SLO_destination_bronz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867" cy="232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0B9" w:rsidRPr="00734486" w:rsidSect="001A126F">
      <w:headerReference w:type="default" r:id="rId12"/>
      <w:footerReference w:type="default" r:id="rId13"/>
      <w:type w:val="continuous"/>
      <w:pgSz w:w="11906" w:h="16838"/>
      <w:pgMar w:top="2552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F3" w:rsidRDefault="00D579F3" w:rsidP="00E60BF2">
      <w:pPr>
        <w:spacing w:after="0" w:line="240" w:lineRule="auto"/>
      </w:pPr>
      <w:r>
        <w:separator/>
      </w:r>
    </w:p>
  </w:endnote>
  <w:endnote w:type="continuationSeparator" w:id="0">
    <w:p w:rsidR="00D579F3" w:rsidRDefault="00D579F3" w:rsidP="00E6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F2" w:rsidRDefault="001444C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1F3419E" wp14:editId="0C291C99">
          <wp:simplePos x="0" y="0"/>
          <wp:positionH relativeFrom="column">
            <wp:posOffset>-1200785</wp:posOffset>
          </wp:positionH>
          <wp:positionV relativeFrom="paragraph">
            <wp:posOffset>-2500185</wp:posOffset>
          </wp:positionV>
          <wp:extent cx="821436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436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F3" w:rsidRDefault="00D579F3" w:rsidP="00E60BF2">
      <w:pPr>
        <w:spacing w:after="0" w:line="240" w:lineRule="auto"/>
      </w:pPr>
      <w:r>
        <w:separator/>
      </w:r>
    </w:p>
  </w:footnote>
  <w:footnote w:type="continuationSeparator" w:id="0">
    <w:p w:rsidR="00D579F3" w:rsidRDefault="00D579F3" w:rsidP="00E6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F2" w:rsidRDefault="001236F8" w:rsidP="00051B93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2444115" cy="1228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gla-Pohorje-destinacija-V-obci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9" b="10114"/>
                  <a:stretch/>
                </pic:blipFill>
                <pic:spPr bwMode="auto">
                  <a:xfrm>
                    <a:off x="0" y="0"/>
                    <a:ext cx="2451663" cy="123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16AC5">
      <w:rPr>
        <w:noProof/>
        <w:lang w:eastAsia="sl-SI"/>
      </w:rPr>
      <w:drawing>
        <wp:inline distT="0" distB="0" distL="0" distR="0" wp14:anchorId="49CF797B">
          <wp:extent cx="2700655" cy="10852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5C99"/>
    <w:multiLevelType w:val="hybridMultilevel"/>
    <w:tmpl w:val="3A94AD3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AEE1BF5"/>
    <w:multiLevelType w:val="hybridMultilevel"/>
    <w:tmpl w:val="57166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6ACE"/>
    <w:multiLevelType w:val="hybridMultilevel"/>
    <w:tmpl w:val="71CAC152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99A"/>
    <w:multiLevelType w:val="hybridMultilevel"/>
    <w:tmpl w:val="E7EA91EC"/>
    <w:lvl w:ilvl="0" w:tplc="49521B5C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31500"/>
    <w:multiLevelType w:val="hybridMultilevel"/>
    <w:tmpl w:val="62FE4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665"/>
    <w:multiLevelType w:val="hybridMultilevel"/>
    <w:tmpl w:val="CAB06BBA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46C4F"/>
    <w:multiLevelType w:val="hybridMultilevel"/>
    <w:tmpl w:val="DE0C0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00A45"/>
    <w:multiLevelType w:val="hybridMultilevel"/>
    <w:tmpl w:val="3CEC8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52279"/>
    <w:multiLevelType w:val="hybridMultilevel"/>
    <w:tmpl w:val="C37E38C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2"/>
    <w:rsid w:val="00051B93"/>
    <w:rsid w:val="000E23D3"/>
    <w:rsid w:val="001236F8"/>
    <w:rsid w:val="001444CD"/>
    <w:rsid w:val="001448D8"/>
    <w:rsid w:val="00176309"/>
    <w:rsid w:val="0018718A"/>
    <w:rsid w:val="001950DF"/>
    <w:rsid w:val="001A126F"/>
    <w:rsid w:val="001E1BC9"/>
    <w:rsid w:val="001F00B0"/>
    <w:rsid w:val="001F1A3C"/>
    <w:rsid w:val="0021597B"/>
    <w:rsid w:val="0022383F"/>
    <w:rsid w:val="002940ED"/>
    <w:rsid w:val="002A62EF"/>
    <w:rsid w:val="002E248E"/>
    <w:rsid w:val="002E685C"/>
    <w:rsid w:val="003170ED"/>
    <w:rsid w:val="00337651"/>
    <w:rsid w:val="00343C82"/>
    <w:rsid w:val="003D318C"/>
    <w:rsid w:val="003E57A3"/>
    <w:rsid w:val="003F0CD8"/>
    <w:rsid w:val="00420BFD"/>
    <w:rsid w:val="0043060B"/>
    <w:rsid w:val="00467594"/>
    <w:rsid w:val="00471DB1"/>
    <w:rsid w:val="00492A0C"/>
    <w:rsid w:val="00495DD7"/>
    <w:rsid w:val="004C67F8"/>
    <w:rsid w:val="004E065B"/>
    <w:rsid w:val="004E497A"/>
    <w:rsid w:val="004F1143"/>
    <w:rsid w:val="00502C74"/>
    <w:rsid w:val="00546625"/>
    <w:rsid w:val="005720D6"/>
    <w:rsid w:val="005760E3"/>
    <w:rsid w:val="00616AC5"/>
    <w:rsid w:val="006178E5"/>
    <w:rsid w:val="00631BA8"/>
    <w:rsid w:val="00647D88"/>
    <w:rsid w:val="00665957"/>
    <w:rsid w:val="00691676"/>
    <w:rsid w:val="006932F0"/>
    <w:rsid w:val="006B0553"/>
    <w:rsid w:val="006C00AE"/>
    <w:rsid w:val="006C6BAD"/>
    <w:rsid w:val="006D41FC"/>
    <w:rsid w:val="007204C6"/>
    <w:rsid w:val="00734486"/>
    <w:rsid w:val="007550B9"/>
    <w:rsid w:val="00777023"/>
    <w:rsid w:val="007A2BDD"/>
    <w:rsid w:val="007E273D"/>
    <w:rsid w:val="007F53CD"/>
    <w:rsid w:val="007F60EB"/>
    <w:rsid w:val="00846BE4"/>
    <w:rsid w:val="008675B7"/>
    <w:rsid w:val="008739FF"/>
    <w:rsid w:val="00887747"/>
    <w:rsid w:val="00897F18"/>
    <w:rsid w:val="008C3951"/>
    <w:rsid w:val="008D17BD"/>
    <w:rsid w:val="008D4511"/>
    <w:rsid w:val="008E4810"/>
    <w:rsid w:val="00920F8B"/>
    <w:rsid w:val="00935BC6"/>
    <w:rsid w:val="009863E5"/>
    <w:rsid w:val="00987DD3"/>
    <w:rsid w:val="009D3ED0"/>
    <w:rsid w:val="009E595C"/>
    <w:rsid w:val="00A340DD"/>
    <w:rsid w:val="00A46858"/>
    <w:rsid w:val="00A72E67"/>
    <w:rsid w:val="00AE0483"/>
    <w:rsid w:val="00AE7206"/>
    <w:rsid w:val="00AF1A1B"/>
    <w:rsid w:val="00AF2E21"/>
    <w:rsid w:val="00B03C8A"/>
    <w:rsid w:val="00B23693"/>
    <w:rsid w:val="00B506C0"/>
    <w:rsid w:val="00B5727D"/>
    <w:rsid w:val="00B842AA"/>
    <w:rsid w:val="00B925CE"/>
    <w:rsid w:val="00BB270C"/>
    <w:rsid w:val="00C476AD"/>
    <w:rsid w:val="00C634E5"/>
    <w:rsid w:val="00C77931"/>
    <w:rsid w:val="00C84BA3"/>
    <w:rsid w:val="00CA6EDE"/>
    <w:rsid w:val="00CA7F91"/>
    <w:rsid w:val="00CB7768"/>
    <w:rsid w:val="00CE5018"/>
    <w:rsid w:val="00CF03ED"/>
    <w:rsid w:val="00D33960"/>
    <w:rsid w:val="00D418BF"/>
    <w:rsid w:val="00D579F3"/>
    <w:rsid w:val="00D64457"/>
    <w:rsid w:val="00D82DE0"/>
    <w:rsid w:val="00D97F48"/>
    <w:rsid w:val="00DA7060"/>
    <w:rsid w:val="00DB3EE8"/>
    <w:rsid w:val="00DD02F0"/>
    <w:rsid w:val="00DD3BE6"/>
    <w:rsid w:val="00DE2D90"/>
    <w:rsid w:val="00DE4D85"/>
    <w:rsid w:val="00E1496C"/>
    <w:rsid w:val="00E60BF2"/>
    <w:rsid w:val="00E62E55"/>
    <w:rsid w:val="00E9163D"/>
    <w:rsid w:val="00E956B0"/>
    <w:rsid w:val="00EA470B"/>
    <w:rsid w:val="00EB0BE9"/>
    <w:rsid w:val="00EB283B"/>
    <w:rsid w:val="00EC2DE3"/>
    <w:rsid w:val="00EF691D"/>
    <w:rsid w:val="00F20AC4"/>
    <w:rsid w:val="00F251FF"/>
    <w:rsid w:val="00F34392"/>
    <w:rsid w:val="00F3549E"/>
    <w:rsid w:val="00F43EE2"/>
    <w:rsid w:val="00F60A3D"/>
    <w:rsid w:val="00F82D51"/>
    <w:rsid w:val="00FA0F8D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86F6D8-7A26-40F2-B3C7-CA217DE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0B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0BF2"/>
  </w:style>
  <w:style w:type="paragraph" w:styleId="Noga">
    <w:name w:val="footer"/>
    <w:basedOn w:val="Navaden"/>
    <w:link w:val="Nog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0B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BF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60BF2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DA7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gla-pohorje.si/sl/slovenia-green/za-ponudnik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gla-pohorje.si/sl/slovenia-green/za-obiskovalc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rogla-pohorje.si/sl/slovenia-gre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Milena Slatinek</cp:lastModifiedBy>
  <cp:revision>5</cp:revision>
  <cp:lastPrinted>2020-08-03T09:14:00Z</cp:lastPrinted>
  <dcterms:created xsi:type="dcterms:W3CDTF">2020-08-04T09:46:00Z</dcterms:created>
  <dcterms:modified xsi:type="dcterms:W3CDTF">2020-08-05T05:57:00Z</dcterms:modified>
</cp:coreProperties>
</file>